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Truck and Cab Folder Checklist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2880"/>
        <w:gridCol w:w="2880"/>
      </w:tblGrid>
      <w:tr>
        <w:trPr>
          <w:trHeight w:hRule="atLeast" w:val="539"/>
          <w:cantSplit/>
        </w:trPr>
        <w:tc>
          <w:tcPr>
            <w:tcW w:type="dxa" w:w="504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Carrier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8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Truck / tractor unit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8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Trailer unit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464"/>
        <w:gridCol w:w="6336"/>
      </w:tblGrid>
      <w:tr>
        <w:trPr>
          <w:trHeight w:hRule="atLeast" w:val="539"/>
          <w:cantSplit/>
        </w:trPr>
        <w:tc>
          <w:tcPr>
            <w:tcW w:type="dxa" w:w="446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Checked by / date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633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Folder location / electronic access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r>
        <w:rPr>
          <w:sz w:val="19"/>
        </w:rPr>
        <w:t>Mark each item Ready, Missing or N/A. Check the carrier, vehicle, route and document expiration; accepted electronic records must be accessible when needed.</w:t>
      </w:r>
    </w:p>
    <w:p>
      <w:pPr>
        <w:pStyle w:val="Heading1"/>
      </w:pPr>
      <w:r>
        <w:t>Equipment and operating documents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464"/>
        <w:gridCol w:w="1656"/>
        <w:gridCol w:w="1656"/>
        <w:gridCol w:w="3024"/>
      </w:tblGrid>
      <w:tr>
        <w:trPr>
          <w:trHeight w:hRule="atLeast"/>
          <w:cantSplit/>
          <w:tblHeader/>
        </w:trPr>
        <w:tc>
          <w:tcPr>
            <w:tcW w:type="dxa" w:w="446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Document / item</w:t>
            </w:r>
          </w:p>
        </w:tc>
        <w:tc>
          <w:tcPr>
            <w:tcW w:type="dxa" w:w="16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Status</w:t>
            </w:r>
          </w:p>
        </w:tc>
        <w:tc>
          <w:tcPr>
            <w:tcW w:type="dxa" w:w="16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Expires / check date</w:t>
            </w:r>
          </w:p>
        </w:tc>
        <w:tc>
          <w:tcPr>
            <w:tcW w:type="dxa" w:w="30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Location / action needed</w:t>
            </w:r>
          </w:p>
        </w:tc>
      </w:tr>
      <w:tr>
        <w:trPr>
          <w:trHeight w:hRule="atLeast" w:val="465"/>
          <w:cantSplit/>
        </w:trPr>
        <w:tc>
          <w:tcPr>
            <w:tcW w:type="dxa" w:w="446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sz w:val="19"/>
              </w:rPr>
              <w:t>Truck registration / cab card</w:t>
            </w:r>
          </w:p>
        </w:tc>
        <w:tc>
          <w:tcPr>
            <w:tcW w:type="dxa" w:w="16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6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30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465"/>
          <w:cantSplit/>
        </w:trPr>
        <w:tc>
          <w:tcPr>
            <w:tcW w:type="dxa" w:w="446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sz w:val="19"/>
              </w:rPr>
              <w:t>Trailer registration</w:t>
            </w:r>
          </w:p>
        </w:tc>
        <w:tc>
          <w:tcPr>
            <w:tcW w:type="dxa" w:w="16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6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30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465"/>
          <w:cantSplit/>
        </w:trPr>
        <w:tc>
          <w:tcPr>
            <w:tcW w:type="dxa" w:w="446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sz w:val="19"/>
              </w:rPr>
              <w:t>Insurance evidence / contact information required for the operation</w:t>
            </w:r>
          </w:p>
        </w:tc>
        <w:tc>
          <w:tcPr>
            <w:tcW w:type="dxa" w:w="16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6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30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465"/>
          <w:cantSplit/>
        </w:trPr>
        <w:tc>
          <w:tcPr>
            <w:tcW w:type="dxa" w:w="446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sz w:val="19"/>
              </w:rPr>
              <w:t>Periodic inspection evidence for truck and trailer*</w:t>
            </w:r>
          </w:p>
        </w:tc>
        <w:tc>
          <w:tcPr>
            <w:tcW w:type="dxa" w:w="16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6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30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465"/>
          <w:cantSplit/>
        </w:trPr>
        <w:tc>
          <w:tcPr>
            <w:tcW w:type="dxa" w:w="446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sz w:val="19"/>
              </w:rPr>
              <w:t>Carrier dispatch / roadside / accident contacts</w:t>
            </w:r>
          </w:p>
        </w:tc>
        <w:tc>
          <w:tcPr>
            <w:tcW w:type="dxa" w:w="16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6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30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pStyle w:val="Heading1"/>
      </w:pPr>
      <w:r>
        <w:t>Only when applicable to this vehicle or trip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464"/>
        <w:gridCol w:w="1656"/>
        <w:gridCol w:w="1656"/>
        <w:gridCol w:w="3024"/>
      </w:tblGrid>
      <w:tr>
        <w:trPr>
          <w:trHeight w:hRule="atLeast"/>
          <w:cantSplit/>
          <w:tblHeader/>
        </w:trPr>
        <w:tc>
          <w:tcPr>
            <w:tcW w:type="dxa" w:w="446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Document / item</w:t>
            </w:r>
          </w:p>
        </w:tc>
        <w:tc>
          <w:tcPr>
            <w:tcW w:type="dxa" w:w="16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Status</w:t>
            </w:r>
          </w:p>
        </w:tc>
        <w:tc>
          <w:tcPr>
            <w:tcW w:type="dxa" w:w="16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Expires / check date</w:t>
            </w:r>
          </w:p>
        </w:tc>
        <w:tc>
          <w:tcPr>
            <w:tcW w:type="dxa" w:w="30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Location / action needed</w:t>
            </w:r>
          </w:p>
        </w:tc>
      </w:tr>
      <w:tr>
        <w:trPr>
          <w:trHeight w:hRule="atLeast" w:val="465"/>
          <w:cantSplit/>
        </w:trPr>
        <w:tc>
          <w:tcPr>
            <w:tcW w:type="dxa" w:w="446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sz w:val="19"/>
              </w:rPr>
              <w:t>IFTA license copy / fuel-tax credentials</w:t>
            </w:r>
          </w:p>
        </w:tc>
        <w:tc>
          <w:tcPr>
            <w:tcW w:type="dxa" w:w="16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6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30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465"/>
          <w:cantSplit/>
        </w:trPr>
        <w:tc>
          <w:tcPr>
            <w:tcW w:type="dxa" w:w="446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sz w:val="19"/>
              </w:rPr>
              <w:t>Trip, fuel or oversize / overweight permits and routing</w:t>
            </w:r>
          </w:p>
        </w:tc>
        <w:tc>
          <w:tcPr>
            <w:tcW w:type="dxa" w:w="16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6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30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465"/>
          <w:cantSplit/>
        </w:trPr>
        <w:tc>
          <w:tcPr>
            <w:tcW w:type="dxa" w:w="446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sz w:val="19"/>
              </w:rPr>
              <w:t>ELD data-transfer instruction sheet**</w:t>
            </w:r>
          </w:p>
        </w:tc>
        <w:tc>
          <w:tcPr>
            <w:tcW w:type="dxa" w:w="16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6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30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465"/>
          <w:cantSplit/>
        </w:trPr>
        <w:tc>
          <w:tcPr>
            <w:tcW w:type="dxa" w:w="446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sz w:val="19"/>
              </w:rPr>
              <w:t>ELD malfunction / recordkeeping instruction sheet**</w:t>
            </w:r>
          </w:p>
        </w:tc>
        <w:tc>
          <w:tcPr>
            <w:tcW w:type="dxa" w:w="16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6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30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465"/>
          <w:cantSplit/>
        </w:trPr>
        <w:tc>
          <w:tcPr>
            <w:tcW w:type="dxa" w:w="446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sz w:val="19"/>
              </w:rPr>
              <w:t>Blank paper RODS for at least 8 days when ELD rules apply**</w:t>
            </w:r>
          </w:p>
        </w:tc>
        <w:tc>
          <w:tcPr>
            <w:tcW w:type="dxa" w:w="16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6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30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465"/>
          <w:cantSplit/>
        </w:trPr>
        <w:tc>
          <w:tcPr>
            <w:tcW w:type="dxa" w:w="446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sz w:val="19"/>
              </w:rPr>
              <w:t>Shipment BOL / shipping papers / delivery instructions</w:t>
            </w:r>
          </w:p>
        </w:tc>
        <w:tc>
          <w:tcPr>
            <w:tcW w:type="dxa" w:w="16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6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30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pStyle w:val="Heading1"/>
      </w:pPr>
      <w:r>
        <w:t>Carrier-specific supplies and instructions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464"/>
        <w:gridCol w:w="1656"/>
        <w:gridCol w:w="4680"/>
      </w:tblGrid>
      <w:tr>
        <w:trPr>
          <w:trHeight w:hRule="atLeast"/>
          <w:cantSplit/>
          <w:tblHeader/>
        </w:trPr>
        <w:tc>
          <w:tcPr>
            <w:tcW w:type="dxa" w:w="446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Item</w:t>
            </w:r>
          </w:p>
        </w:tc>
        <w:tc>
          <w:tcPr>
            <w:tcW w:type="dxa" w:w="16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Status</w:t>
            </w:r>
          </w:p>
        </w:tc>
        <w:tc>
          <w:tcPr>
            <w:tcW w:type="dxa" w:w="468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Location / action needed</w:t>
            </w:r>
          </w:p>
        </w:tc>
      </w:tr>
      <w:tr>
        <w:trPr>
          <w:trHeight w:hRule="atLeast" w:val="490"/>
          <w:cantSplit/>
        </w:trPr>
        <w:tc>
          <w:tcPr>
            <w:tcW w:type="dxa" w:w="446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sz w:val="19"/>
              </w:rPr>
              <w:t>Trip / fuel / expense forms and receipt envelope</w:t>
            </w:r>
          </w:p>
        </w:tc>
        <w:tc>
          <w:tcPr>
            <w:tcW w:type="dxa" w:w="16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468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490"/>
          <w:cantSplit/>
        </w:trPr>
        <w:tc>
          <w:tcPr>
            <w:tcW w:type="dxa" w:w="446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sz w:val="19"/>
              </w:rPr>
              <w:t>Other carrier-required item</w:t>
            </w:r>
          </w:p>
        </w:tc>
        <w:tc>
          <w:tcPr>
            <w:tcW w:type="dxa" w:w="16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468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rPr>
          <w:trHeight w:hRule="atLeast" w:val="661"/>
          <w:cantSplit/>
        </w:trPr>
        <w:tc>
          <w:tcPr>
            <w:tcW w:type="dxa" w:w="108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Missing items / person responsible / follow-up date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r>
        <w:rPr>
          <w:sz w:val="17"/>
        </w:rPr>
        <w:t>* Periodic inspection evidence must be on the vehicle where 49 CFR 396.17 applies; a qualifying report or decal may serve. ** 49 CFR 395.22(h) lists the two instruction sheets and eight-day paper-log supply. Keep the driver’s license and any separately required driver credentials available; do not store sensitive hiring records in this folder.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576" w:right="720" w:bottom="576" w:left="720" w:header="720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2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Truck and Cab Folder Checklist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