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Local Driver Timesheet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5040"/>
      </w:tblGrid>
      <w:tr>
        <w:trPr>
          <w:trHeight w:hRule="atLeast" w:val="539"/>
          <w:cantSplit/>
        </w:trPr>
        <w:tc>
          <w:tcPr>
            <w:tcW w:type="dxa" w:w="57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Company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04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Driver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2016"/>
        <w:gridCol w:w="4032"/>
      </w:tblGrid>
      <w:tr>
        <w:trPr>
          <w:trHeight w:hRule="atLeast" w:val="539"/>
          <w:cantSplit/>
        </w:trPr>
        <w:tc>
          <w:tcPr>
            <w:tcW w:type="dxa" w:w="47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 period beginning / ending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Time zone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03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Supervisor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9"/>
        </w:rPr>
        <w:t>Record actual start, end and break times. Enter end dates for overnight work. Approved paid hours are reviewed separately from elapsed time and federal HOS duty status.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"/>
        <w:gridCol w:w="1224"/>
        <w:gridCol w:w="1800"/>
        <w:gridCol w:w="1872"/>
        <w:gridCol w:w="1224"/>
        <w:gridCol w:w="1512"/>
        <w:gridCol w:w="2088"/>
      </w:tblGrid>
      <w:tr>
        <w:trPr>
          <w:trHeight w:hRule="atLeast"/>
          <w:cantSplit/>
          <w:tblHeader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Start time</w:t>
            </w: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End date / time</w:t>
            </w: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Break duration / type</w:t>
            </w: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Worked hours</w:t>
            </w: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Approved paid hours</w:t>
            </w: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Work / notes</w:t>
            </w: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88"/>
          <w:cantSplit/>
        </w:trPr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3024"/>
        <w:gridCol w:w="4896"/>
      </w:tblGrid>
      <w:tr>
        <w:trPr>
          <w:trHeight w:hRule="atLeast" w:val="636"/>
          <w:cantSplit/>
        </w:trPr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Worked hours total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Approved paid hours total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89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Adjustment / approval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1004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Break treatment / additional work / corrections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710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Driver acknowledgement /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Manager review /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8"/>
        </w:rPr>
        <w:t>Do not automatically treat every break as unpaid or off duty. This timesheet records internal work/pay-period information; use a separate short-haul time record when that HOS exception applies.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76" w:right="720" w:bottom="576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Driver Timesheet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