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32"/>
        </w:rPr>
        <w:t>Commercial Truck Lease-to-Purchase Agreement</w:t>
      </w:r>
    </w:p>
    <w:p>
      <w:r>
        <w:rPr>
          <w:sz w:val="21"/>
        </w:rPr>
        <w:t>Basic commercial agreement for one truck or tractor</w:t>
      </w:r>
    </w:p>
    <w:p>
      <w:r>
        <w:rPr>
          <w:sz w:val="19"/>
        </w:rPr>
        <w:t>Complete all applicable terms before signing. Have the transaction reviewed under the selected state’s law, including lease-versus-secured-sale classification and title requirements. Not for consumer transactions or dealer financing.</w:t>
      </w: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Agreement date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Applicable state law to be reviewed / selected</w:t>
            </w:r>
          </w:p>
          <w:p>
            <w:pPr>
              <w:spacing w:after="0" w:before="0" w:line="240" w:lineRule="exact"/>
            </w:pPr>
            <w:r>
              <w:rPr>
                <w:sz w:val="20"/>
              </w:rPr>
            </w:r>
          </w:p>
        </w:tc>
      </w:tr>
    </w:tbl>
    <w:p>
      <w:pPr>
        <w:pStyle w:val="Heading1"/>
      </w:pPr>
      <w:r>
        <w:t>1 Parties</w:t>
      </w:r>
    </w:p>
    <w:tbl>
      <w:tblPr>
        <w:tblW w:type="auto" w:w="0"/>
        <w:tblLayout w:type="fixed"/>
        <w:tblLook w:firstColumn="1" w:firstRow="1" w:lastColumn="0" w:lastRow="0" w:noHBand="0" w:noVBand="1" w:val="04A0"/>
      </w:tblPr>
      <w:tblGrid>
        <w:gridCol w:w="10656"/>
      </w:tblGrid>
      <w:tr>
        <w:trPr>
          <w:trHeight w:val="792"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Lessor / Seller legal name</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656"/>
      </w:tblGrid>
      <w:tr>
        <w:trPr>
          <w:trHeight w:val="864"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Address / notice address</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Authorized representative / title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Phone / notice email</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656"/>
      </w:tblGrid>
      <w:tr>
        <w:trPr>
          <w:trHeight w:val="792"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Lessee / Buyer legal name</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656"/>
      </w:tblGrid>
      <w:tr>
        <w:trPr>
          <w:trHeight w:val="864"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Address / notice address</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Authorized representative / title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Phone / notice email</w:t>
            </w:r>
          </w:p>
          <w:p>
            <w:pPr>
              <w:spacing w:after="0" w:before="0" w:line="240" w:lineRule="exact"/>
            </w:pPr>
            <w:r>
              <w:rPr>
                <w:sz w:val="20"/>
              </w:rPr>
            </w:r>
          </w:p>
        </w:tc>
      </w:tr>
    </w:tbl>
    <w:p>
      <w:r>
        <w:rPr>
          <w:sz w:val="19"/>
        </w:rPr>
        <w:t>Lessor agrees to provide possession of the equipment described below and to transfer ownership after the agreed acquisition conditions are met. Lessee agrees to make the agreed payments and perform the responsibilities in this agreement. These terms concern acquisition of equipment, not a carrier-authority operating relationship or driver engagement.</w:t>
      </w:r>
    </w:p>
    <w:p>
      <w:pPr>
        <w:pStyle w:val="Heading1"/>
      </w:pPr>
      <w:r>
        <w:t>2 Equipment and delivery</w:t>
      </w:r>
    </w:p>
    <w:tbl>
      <w:tblPr>
        <w:tblW w:type="auto" w:w="0"/>
        <w:tblLayout w:type="fixed"/>
        <w:tblLook w:firstColumn="1" w:firstRow="1" w:lastColumn="0" w:lastRow="0" w:noHBand="0" w:noVBand="1" w:val="04A0"/>
      </w:tblPr>
      <w:tblGrid>
        <w:gridCol w:w="6912"/>
        <w:gridCol w:w="3744"/>
      </w:tblGrid>
      <w:tr>
        <w:trPr>
          <w:trHeight w:val="619" w:hRule="atLeast"/>
          <w:cantSplit/>
        </w:trPr>
        <w:tc>
          <w:tcPr>
            <w:tcW w:type="dxa" w:w="6912"/>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Year / make / model</w:t>
            </w:r>
          </w:p>
          <w:p>
            <w:pPr>
              <w:spacing w:after="0" w:before="0" w:line="240" w:lineRule="exact"/>
            </w:pPr>
            <w:r>
              <w:rPr>
                <w:sz w:val="20"/>
              </w:rPr>
            </w:r>
          </w:p>
        </w:tc>
        <w:tc>
          <w:tcPr>
            <w:tcW w:type="dxa" w:w="3744"/>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Truck or tractor / unit number</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656"/>
      </w:tblGrid>
      <w:tr>
        <w:trPr>
          <w:trHeight w:val="792"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VIN</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Title state / number / titled owner</w:t>
            </w:r>
          </w:p>
          <w:p>
            <w:pPr>
              <w:spacing w:after="280" w:before="0" w:line="240" w:lineRule="exact"/>
            </w:pPr>
            <w:r>
              <w:rPr>
                <w:sz w:val="20"/>
              </w:rPr>
            </w:r>
            <w:r>
              <w:t xml:space="preserve"> </w:t>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Odometer (miles) / reading date / engine hours, if used</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Possession date / time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Delivery location and delivery responsibilities</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800"/>
      </w:tblGrid>
      <w:tr>
        <w:trPr>
          <w:trHeight w:hRule="atLeast" w:val="734"/>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Condition / included equipment / inspection and handover reference</w:t>
            </w:r>
          </w:p>
          <w:p>
            <w:pPr>
              <w:spacing w:before="0" w:after="0" w:line="240" w:lineRule="auto"/>
            </w:pPr>
            <w:r>
              <w:rPr>
                <w:sz w:val="20"/>
              </w:rPr>
            </w:r>
          </w:p>
        </w:tc>
      </w:tr>
    </w:tbl>
    <w:p>
      <w:pPr>
        <w:pStyle w:val="Title"/>
        <w:pageBreakBefore/>
      </w:pPr>
      <w:r>
        <w:rPr>
          <w:sz w:val="32"/>
        </w:rPr>
        <w:t>Lease-to-Purchase Payment Terms</w:t>
      </w: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Parties / agreement date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Truck VIN / unit reference</w:t>
            </w:r>
          </w:p>
          <w:p>
            <w:pPr>
              <w:spacing w:after="0" w:before="0" w:line="240" w:lineRule="exact"/>
            </w:pPr>
            <w:r>
              <w:rPr>
                <w:sz w:val="20"/>
              </w:rPr>
            </w:r>
          </w:p>
        </w:tc>
      </w:tr>
    </w:tbl>
    <w:p>
      <w:pPr>
        <w:pStyle w:val="Heading1"/>
      </w:pPr>
      <w:r>
        <w:t>3 Agreed acquisition payments</w:t>
      </w:r>
    </w:p>
    <w:p>
      <w:r>
        <w:rPr>
          <w:sz w:val="19"/>
        </w:rPr>
        <w:t>All amounts are U.S. dollars. In this basic version, the initial payment and each scheduled periodic payment are credited in full toward the agreed acquisition price. Taxes, registration, insurance and service costs are separate responsibilities under section 5. No separate interest, finance charge, late fee or nonrefundable deposit is established by this template.</w:t>
      </w: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Agreed purchase / acquisition price ($)</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Initial payment ($; enter 0 if none)</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Initial payment due date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Periodic payment amount ($)</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Payment frequency</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First periodic payment due date</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Number of periodic payments</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Term: start date and scheduled end date</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Final buyout / remaining price ($; 0 if none)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Final buyout due date</w:t>
            </w:r>
          </w:p>
          <w:p>
            <w:pPr>
              <w:spacing w:after="0" w:before="0" w:line="240" w:lineRule="exact"/>
            </w:pPr>
            <w:r>
              <w:rPr>
                <w:sz w:val="20"/>
              </w:rPr>
            </w:r>
          </w:p>
        </w:tc>
      </w:tr>
    </w:tbl>
    <w:p>
      <w:r>
        <w:rPr>
          <w:sz w:val="19"/>
        </w:rPr>
        <w:t>Before signing, reconcile: initial payment + (number of periodic payments x periodic payment amount) + final buyout = agreed acquisition price. Enter the actual dates or attach a dated schedule for irregular payments. Do not count the initial payment or final buyout again as a periodic payment.</w:t>
      </w:r>
    </w:p>
    <w:tbl>
      <w:tblPr>
        <w:tblW w:type="auto" w:w="0"/>
        <w:tblLayout w:type="fixed"/>
        <w:tblLook w:firstColumn="1" w:firstRow="1" w:lastColumn="0" w:lastRow="0" w:noHBand="0" w:noVBand="1" w:val="04A0"/>
      </w:tblPr>
      <w:tblGrid>
        <w:gridCol w:w="10656"/>
      </w:tblGrid>
      <w:tr>
        <w:trPr>
          <w:trHeight w:val="792"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Payment method / payee / remittance reference</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656"/>
      </w:tblGrid>
      <w:tr>
        <w:trPr>
          <w:trHeight w:val="720"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Payment schedule attachment reference, if used</w:t>
            </w:r>
          </w:p>
          <w:p>
            <w:pPr>
              <w:spacing w:after="0" w:before="0" w:line="240" w:lineRule="exact"/>
            </w:pPr>
            <w:r>
              <w:rPr>
                <w:sz w:val="20"/>
              </w:rPr>
            </w:r>
          </w:p>
        </w:tc>
      </w:tr>
    </w:tbl>
    <w:p>
      <w:pPr>
        <w:pStyle w:val="Heading1"/>
      </w:pPr>
      <w:r>
        <w:t>4 Payment records and early purchase</w:t>
      </w:r>
    </w:p>
    <w:p>
      <w:r>
        <w:rPr>
          <w:sz w:val="19"/>
        </w:rPr>
        <w:t>Lessor will provide a record of payments received and acquisition-price credits upon reasonable request. The parties will promptly identify disputed entries in writing. Lessee may request a written early-purchase balance; an early completion date and any revised amount must be agreed in a signed writing. Payments are not automatically withheld from driver settlements or carrier earnings under this agreement.</w:t>
      </w:r>
    </w:p>
    <w:tbl>
      <w:tblPr>
        <w:tblW w:type="auto" w:w="0"/>
        <w:tblLayout w:type="fixed"/>
        <w:tblLook w:firstColumn="1" w:firstRow="1" w:lastColumn="0" w:lastRow="0" w:noHBand="0" w:noVBand="1" w:val="04A0"/>
      </w:tblPr>
      <w:tblGrid>
        <w:gridCol w:w="10656"/>
      </w:tblGrid>
      <w:tr>
        <w:trPr>
          <w:trHeight w:val="1037"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Payment receipt / allocation / disputed-payment procedure</w:t>
            </w:r>
          </w:p>
          <w:p>
            <w:pPr>
              <w:spacing w:after="0" w:before="0" w:line="240" w:lineRule="exact"/>
            </w:pPr>
            <w:r>
              <w:rPr>
                <w:sz w:val="20"/>
              </w:rPr>
            </w:r>
          </w:p>
        </w:tc>
      </w:tr>
    </w:tbl>
    <w:p>
      <w:pPr>
        <w:pStyle w:val="Title"/>
        <w:pageBreakBefore/>
      </w:pPr>
      <w:r>
        <w:rPr>
          <w:sz w:val="32"/>
        </w:rPr>
        <w:t>Lease-to-Purchase Responsibilities</w:t>
      </w: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Parties / agreement date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Truck VIN / unit reference</w:t>
            </w:r>
          </w:p>
          <w:p>
            <w:pPr>
              <w:spacing w:after="0" w:before="0" w:line="240" w:lineRule="exact"/>
            </w:pPr>
            <w:r>
              <w:rPr>
                <w:sz w:val="20"/>
              </w:rPr>
            </w:r>
          </w:p>
        </w:tc>
      </w:tr>
    </w:tbl>
    <w:p>
      <w:pPr>
        <w:pStyle w:val="Heading1"/>
      </w:pPr>
      <w:r>
        <w:t>5 Use and allocated responsibilities</w:t>
      </w:r>
    </w:p>
    <w:p>
      <w:r>
        <w:rPr>
          <w:sz w:val="19"/>
        </w:rPr>
        <w:t>Lessee will use the equipment for lawful commercial purposes, safeguard it and not knowingly operate it in an unsafe condition. This agreement does not grant motor-carrier authority. Regulatory obligations remain with the persons on whom applicable law places them. Complete each responsibility below before delivery.</w:t>
      </w:r>
    </w:p>
    <w:tbl>
      <w:tblPr>
        <w:tblW w:type="auto" w:w="0"/>
        <w:tblLayout w:type="fixed"/>
        <w:tblLook w:firstColumn="1" w:firstRow="1" w:lastColumn="0" w:lastRow="0" w:noHBand="0" w:noVBand="1" w:val="04A0"/>
      </w:tblPr>
      <w:tblGrid>
        <w:gridCol w:w="3168"/>
        <w:gridCol w:w="7488"/>
      </w:tblGrid>
      <w:tr>
        <w:trPr>
          <w:tblHeader/>
          <w:cantSplit/>
        </w:trPr>
        <w:tc>
          <w:tcPr>
            <w:tcW w:type="dxa" w:w="3168"/>
            <w:vAlign w:val="center"/>
            <w:tcMar>
              <w:top w:w="55" w:type="dxa"/>
              <w:left w:w="75" w:type="dxa"/>
              <w:bottom w:w="55" w:type="dxa"/>
              <w:right w:w="75" w:type="dxa"/>
            </w:tcMar>
            <w:tcBorders>
              <w:top w:val="single" w:sz="4" w:color="D9D9D9"/>
              <w:left w:val="single" w:sz="4" w:color="D9D9D9"/>
              <w:bottom w:val="single" w:sz="4" w:color="D9D9D9"/>
              <w:right w:val="single" w:sz="4" w:color="D9D9D9"/>
            </w:tcBorders>
            <w:shd w:fill="F0F0F0"/>
          </w:tcPr>
          <w:p>
            <w:pPr>
              <w:spacing w:before="0" w:after="0" w:line="220" w:lineRule="exact"/>
            </w:pPr>
            <w:r>
              <w:rPr>
                <w:b/>
                <w:sz w:val="18"/>
              </w:rPr>
              <w:t>Responsibility</w:t>
            </w:r>
          </w:p>
        </w:tc>
        <w:tc>
          <w:tcPr>
            <w:tcW w:type="dxa" w:w="7488"/>
            <w:vAlign w:val="center"/>
            <w:tcMar>
              <w:top w:w="55" w:type="dxa"/>
              <w:left w:w="75" w:type="dxa"/>
              <w:bottom w:w="55" w:type="dxa"/>
              <w:right w:w="75" w:type="dxa"/>
            </w:tcMar>
            <w:tcBorders>
              <w:top w:val="single" w:sz="4" w:color="D9D9D9"/>
              <w:left w:val="single" w:sz="4" w:color="D9D9D9"/>
              <w:bottom w:val="single" w:sz="4" w:color="D9D9D9"/>
              <w:right w:val="single" w:sz="4" w:color="D9D9D9"/>
            </w:tcBorders>
            <w:shd w:fill="F0F0F0"/>
          </w:tcPr>
          <w:p>
            <w:pPr>
              <w:spacing w:before="0" w:after="0" w:line="220" w:lineRule="exact"/>
            </w:pPr>
            <w:r>
              <w:rPr>
                <w:b/>
                <w:sz w:val="18"/>
              </w:rPr>
              <w:t>Responsible party / agreed scope / timing</w:t>
            </w:r>
          </w:p>
        </w:tc>
      </w:tr>
      <w:tr>
        <w:trPr>
          <w:trHeight w:val="792" w:hRule="atLeast"/>
          <w:cantSplit/>
        </w:trPr>
        <w:tc>
          <w:tcPr>
            <w:tcW w:type="dxa" w:w="316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t>Routine maintenance and repairs</w:t>
            </w:r>
          </w:p>
        </w:tc>
        <w:tc>
          <w:tcPr>
            <w:tcW w:type="dxa" w:w="748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p>
        </w:tc>
      </w:tr>
      <w:tr>
        <w:trPr>
          <w:trHeight w:val="792" w:hRule="atLeast"/>
          <w:cantSplit/>
        </w:trPr>
        <w:tc>
          <w:tcPr>
            <w:tcW w:type="dxa" w:w="316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t>Major repair approval and costs</w:t>
            </w:r>
          </w:p>
        </w:tc>
        <w:tc>
          <w:tcPr>
            <w:tcW w:type="dxa" w:w="748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p>
        </w:tc>
      </w:tr>
      <w:tr>
        <w:trPr>
          <w:trHeight w:val="792" w:hRule="atLeast"/>
          <w:cantSplit/>
        </w:trPr>
        <w:tc>
          <w:tcPr>
            <w:tcW w:type="dxa" w:w="316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t>Insurance policies / limits / deductibles</w:t>
            </w:r>
          </w:p>
        </w:tc>
        <w:tc>
          <w:tcPr>
            <w:tcW w:type="dxa" w:w="748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p>
        </w:tc>
      </w:tr>
      <w:tr>
        <w:trPr>
          <w:trHeight w:val="792" w:hRule="atLeast"/>
          <w:cantSplit/>
        </w:trPr>
        <w:tc>
          <w:tcPr>
            <w:tcW w:type="dxa" w:w="316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t>Taxes / title / registration / permits</w:t>
            </w:r>
          </w:p>
        </w:tc>
        <w:tc>
          <w:tcPr>
            <w:tcW w:type="dxa" w:w="748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p>
        </w:tc>
      </w:tr>
      <w:tr>
        <w:trPr>
          <w:trHeight w:val="792" w:hRule="atLeast"/>
          <w:cantSplit/>
        </w:trPr>
        <w:tc>
          <w:tcPr>
            <w:tcW w:type="dxa" w:w="316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t>Loss, theft or casualty responsibility</w:t>
            </w:r>
          </w:p>
        </w:tc>
        <w:tc>
          <w:tcPr>
            <w:tcW w:type="dxa" w:w="748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p>
        </w:tc>
      </w:tr>
    </w:tbl>
    <w:p>
      <w:r>
        <w:rPr>
          <w:sz w:val="19"/>
        </w:rPr>
        <w:t>Maintain the insurance agreed above before and during possession. Describe any required insured or loss-payee interest in a separate insurer-confirmed record. No coverage is promised by this agreement. If a casualty prevents continued use, promptly notify the other party and reconcile insurance proceeds, credits and any remaining obligations in writing under applicable law; no automatic forfeiture is created here.</w:t>
      </w:r>
    </w:p>
    <w:p>
      <w:pPr>
        <w:pStyle w:val="Heading1"/>
      </w:pPr>
      <w:r>
        <w:t>6 Ownership and title</w:t>
      </w:r>
    </w:p>
    <w:p>
      <w:r>
        <w:rPr>
          <w:sz w:val="19"/>
        </w:rPr>
        <w:t>Lessor identifies the current title and any encumbrances below and will not knowingly deliver equipment without authority to enter this arrangement. Before possession, resolve any required lienholder consent and title/security documentation. During the term neither party may grant another person rights inconsistent with this agreement without the other party's written consent and any legally required approval.</w:t>
      </w:r>
    </w:p>
    <w:tbl>
      <w:tblPr>
        <w:tblW w:type="auto" w:w="0"/>
        <w:tblLayout w:type="fixed"/>
        <w:tblLook w:firstColumn="1" w:firstRow="1" w:lastColumn="0" w:lastRow="0" w:noHBand="0" w:noVBand="1" w:val="04A0"/>
      </w:tblPr>
      <w:tblGrid>
        <w:gridCol w:w="10656"/>
      </w:tblGrid>
      <w:tr>
        <w:trPr>
          <w:trHeight w:val="936"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Current encumbrances / lienholders (write None only if verified) and consent / release plan</w:t>
            </w:r>
          </w:p>
          <w:p>
            <w:pPr>
              <w:spacing w:after="0" w:before="0" w:line="240" w:lineRule="exact"/>
            </w:pPr>
            <w:r>
              <w:rPr>
                <w:sz w:val="20"/>
              </w:rPr>
            </w:r>
          </w:p>
        </w:tc>
      </w:tr>
    </w:tbl>
    <w:p>
      <w:r>
        <w:rPr>
          <w:sz w:val="19"/>
        </w:rPr>
        <w:t>After the acquisition price is fully paid and the other specifically agreed transfer conditions below are met, Lessor will execute and deliver the documents needed to transfer Lessor's ownership interest, including applicable title documents and required lien releases. Payment alone does not update the state title record. This agreement does not itself perfect or release a security interest.</w:t>
      </w:r>
    </w:p>
    <w:tbl>
      <w:tblPr>
        <w:tblW w:type="auto" w:w="0"/>
        <w:tblLayout w:type="fixed"/>
        <w:tblLook w:firstColumn="1" w:firstRow="1" w:lastColumn="0" w:lastRow="0" w:noHBand="0" w:noVBand="1" w:val="04A0"/>
      </w:tblPr>
      <w:tblGrid>
        <w:gridCol w:w="10656"/>
      </w:tblGrid>
      <w:tr>
        <w:trPr>
          <w:trHeight w:val="936"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Agreed transfer conditions / title documents / delivery deadline</w:t>
            </w:r>
          </w:p>
          <w:p>
            <w:pPr>
              <w:spacing w:after="0" w:before="0" w:line="240" w:lineRule="exact"/>
            </w:pPr>
            <w:r>
              <w:rPr>
                <w:sz w:val="20"/>
              </w:rPr>
            </w:r>
          </w:p>
        </w:tc>
      </w:tr>
    </w:tbl>
    <w:p>
      <w:pPr>
        <w:pStyle w:val="Title"/>
        <w:pageBreakBefore/>
      </w:pPr>
      <w:r>
        <w:rPr>
          <w:sz w:val="32"/>
        </w:rPr>
        <w:t>Lease-to-Purchase Completion and Signatures</w:t>
      </w:r>
    </w:p>
    <w:tbl>
      <w:tblPr>
        <w:tblW w:type="auto" w:w="0"/>
        <w:tblLayout w:type="fixed"/>
        <w:tblLook w:firstColumn="1" w:firstRow="1" w:lastColumn="0" w:lastRow="0" w:noHBand="0" w:noVBand="1" w:val="04A0"/>
      </w:tblPr>
      <w:tblGrid>
        <w:gridCol w:w="5328"/>
        <w:gridCol w:w="5328"/>
      </w:tblGrid>
      <w:tr>
        <w:trPr>
          <w:trHeight w:val="619"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Parties / agreement date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Truck VIN / unit reference</w:t>
            </w:r>
          </w:p>
          <w:p>
            <w:pPr>
              <w:spacing w:after="0" w:before="0" w:line="240" w:lineRule="exact"/>
            </w:pPr>
            <w:r>
              <w:rPr>
                <w:sz w:val="20"/>
              </w:rPr>
            </w:r>
          </w:p>
        </w:tc>
      </w:tr>
    </w:tbl>
    <w:p>
      <w:pPr>
        <w:pStyle w:val="Heading1"/>
      </w:pPr>
      <w:r>
        <w:t>7 Default and opportunity to cure</w:t>
      </w:r>
    </w:p>
    <w:p>
      <w:r>
        <w:rPr>
          <w:sz w:val="19"/>
        </w:rPr>
        <w:t>A missed payment or material failure to perform an agreed responsibility may be a default. The nondefaulting party will give written notice describing the failure, the action needed and the proposed response. The agreed cure period is ____ calendar days after receipt, or any longer minimum required by law. Complete this term before signing. An urgent safety issue may require stopping use; it does not authorize unlawful seizure. If a failure remains uncured, either party may seek remedies available under applicable law. No automatic acceleration, forfeiture, confession of judgment or self-help repossession permission is added here.</w:t>
      </w:r>
    </w:p>
    <w:p>
      <w:pPr>
        <w:pStyle w:val="Heading1"/>
      </w:pPr>
      <w:r>
        <w:t>8 Early termination and return</w:t>
      </w:r>
    </w:p>
    <w:p>
      <w:r>
        <w:rPr>
          <w:sz w:val="19"/>
        </w:rPr>
        <w:t>Early termination requires a signed agreement of both parties or a right available under applicable law. A termination writing must state the effective date, lawful return arrangements and how payments, credits, charges and any balance or refund are determined. Paid amounts are not automatically forfeited. The parties will reconcile the account in writing and preserve any rights that cannot legally be waived.</w:t>
      </w:r>
    </w:p>
    <w:tbl>
      <w:tblPr>
        <w:tblW w:type="auto" w:w="0"/>
        <w:tblLayout w:type="fixed"/>
        <w:tblLook w:firstColumn="1" w:firstRow="1" w:lastColumn="0" w:lastRow="0" w:noHBand="0" w:noVBand="1" w:val="04A0"/>
      </w:tblPr>
      <w:tblGrid>
        <w:gridCol w:w="10656"/>
      </w:tblGrid>
      <w:tr>
        <w:trPr>
          <w:trHeight w:val="864" w:hRule="atLeast"/>
          <w:cantSplit/>
        </w:trPr>
        <w:tc>
          <w:tcPr>
            <w:tcW w:type="dxa" w:w="10656"/>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Agreed early termination terms / calculation basis / notice arrangements</w:t>
            </w:r>
          </w:p>
          <w:p>
            <w:pPr>
              <w:spacing w:after="0" w:before="0" w:line="240" w:lineRule="exact"/>
            </w:pPr>
            <w:r>
              <w:rPr>
                <w:sz w:val="20"/>
              </w:rPr>
            </w:r>
          </w:p>
        </w:tc>
      </w:tr>
    </w:tbl>
    <w:p>
      <w:r>
        <w:rPr>
          <w:sz w:val="19"/>
        </w:rPr>
        <w:t>If the arrangement lawfully ends before ownership transfer and return is due, Lessee will cooperate with an agreed lawful return of the equipment. Return location, timing, condition, property removal and receipt must be documented. Disputed possession or enforcement must follow applicable law; this is not a repossession agreement.</w:t>
      </w:r>
    </w:p>
    <w:p>
      <w:pPr>
        <w:pStyle w:val="Heading1"/>
      </w:pPr>
      <w:r>
        <w:t>9 Notices and agreement</w:t>
      </w:r>
    </w:p>
    <w:p>
      <w:r>
        <w:rPr>
          <w:sz w:val="19"/>
        </w:rPr>
        <w:t>Use the parties’ notice addresses and the delivery method completed below. Changes to the economic terms or responsibilities require a writing signed by both parties. Listed attachments form part of this agreement. Nothing here overrides mandatory law or replaces required title, financing or other state documents.</w:t>
      </w:r>
    </w:p>
    <w:tbl>
      <w:tblPr>
        <w:tblW w:type="auto" w:w="0"/>
        <w:tblLayout w:type="fixed"/>
        <w:tblLook w:firstColumn="1" w:firstRow="1" w:lastColumn="0" w:lastRow="0" w:noHBand="0" w:noVBand="1" w:val="04A0"/>
      </w:tblPr>
      <w:tblGrid>
        <w:gridCol w:w="5328"/>
        <w:gridCol w:w="5328"/>
      </w:tblGrid>
      <w:tr>
        <w:trPr>
          <w:trHeight w:val="792"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Notice delivery method / receipt arrangements</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Attachment titles / dates / page counts</w:t>
            </w:r>
          </w:p>
          <w:p>
            <w:pPr>
              <w:spacing w:after="0" w:before="0" w:line="240" w:lineRule="exact"/>
            </w:pPr>
            <w:r>
              <w:rPr>
                <w:sz w:val="20"/>
              </w:rPr>
            </w:r>
          </w:p>
        </w:tc>
      </w:tr>
    </w:tbl>
    <w:p>
      <w:pPr>
        <w:pStyle w:val="Heading1"/>
      </w:pPr>
      <w:r>
        <w:t>10 Signatures</w:t>
      </w:r>
    </w:p>
    <w:p>
      <w:r>
        <w:rPr>
          <w:sz w:val="19"/>
        </w:rPr>
        <w:t>The signers state that they are authorized to act for the named parties and agree to the completed terms and identified attachments. Each party should retain the complete signed agreement.</w:t>
      </w:r>
    </w:p>
    <w:tbl>
      <w:tblPr>
        <w:tblW w:type="auto" w:w="0"/>
        <w:tblLayout w:type="fixed"/>
        <w:tblLook w:firstColumn="1" w:firstRow="1" w:lastColumn="0" w:lastRow="0" w:noHBand="0" w:noVBand="1" w:val="04A0"/>
      </w:tblPr>
      <w:tblGrid>
        <w:gridCol w:w="5328"/>
        <w:gridCol w:w="5328"/>
      </w:tblGrid>
      <w:tr>
        <w:trPr>
          <w:trHeight w:val="720"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Lessor / Seller representative name / title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Lessee / Buyer representative name / title</w:t>
            </w:r>
          </w:p>
          <w:p>
            <w:pPr>
              <w:spacing w:after="0" w:before="0" w:line="240" w:lineRule="exact"/>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328"/>
        <w:gridCol w:w="5328"/>
      </w:tblGrid>
      <w:tr>
        <w:trPr>
          <w:trHeight w:val="792" w:hRule="atLeast"/>
          <w:cantSplit/>
        </w:trPr>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Lessor / Seller signature / date</w:t>
            </w:r>
          </w:p>
          <w:p>
            <w:pPr>
              <w:spacing w:after="0" w:before="0" w:line="240" w:lineRule="exact"/>
            </w:pPr>
            <w:r>
              <w:rPr>
                <w:sz w:val="20"/>
              </w:rPr>
            </w:r>
          </w:p>
        </w:tc>
        <w:tc>
          <w:tcPr>
            <w:tcW w:type="dxa" w:w="5328"/>
            <w:vAlign w:val="top"/>
            <w:tcMar>
              <w:top w:w="55" w:type="dxa"/>
              <w:left w:w="75" w:type="dxa"/>
              <w:bottom w:w="55" w:type="dxa"/>
              <w:right w:w="75" w:type="dxa"/>
            </w:tcMar>
            <w:tcBorders>
              <w:top w:val="single" w:sz="4" w:color="D9D9D9"/>
              <w:left w:val="single" w:sz="4" w:color="D9D9D9"/>
              <w:bottom w:val="single" w:sz="4" w:color="D9D9D9"/>
              <w:right w:val="single" w:sz="4" w:color="D9D9D9"/>
            </w:tcBorders>
          </w:tcPr>
          <w:p>
            <w:pPr>
              <w:spacing w:before="0" w:after="0" w:line="220" w:lineRule="exact"/>
            </w:pPr>
            <w:r>
              <w:rPr>
                <w:b/>
                <w:sz w:val="18"/>
              </w:rPr>
              <w:t>Lessee / Buyer signature / date</w:t>
            </w:r>
          </w:p>
          <w:p>
            <w:pPr>
              <w:spacing w:after="0" w:before="0" w:line="240" w:lineRule="exact"/>
            </w:pPr>
            <w:r>
              <w:rPr>
                <w:sz w:val="20"/>
              </w:rPr>
            </w:r>
          </w:p>
        </w:tc>
      </w:tr>
    </w:tbl>
    <w:sectPr w:rsidR="00FC693F" w:rsidRPr="0006063C" w:rsidSect="00034616">
      <w:footerReference w:type="default" r:id="rId9"/>
      <w:headerReference w:type="default" r:id="rId10"/>
      <w:pgSz w:w="12240" w:h="15840"/>
      <w:pgMar w:top="648" w:right="792" w:bottom="864" w:left="792" w:header="72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656" w:val="right"/>
      </w:tabs>
      <w:spacing w:after="20"/>
      <w:jc w:val="right"/>
    </w:pPr>
    <w:r>
      <w:rPr>
        <w:rFonts w:ascii="Arial" w:hAnsi="Arial"/>
        <w:color w:val="555555"/>
        <w:sz w:val="16"/>
      </w:rPr>
      <w:t xml:space="preserve">Page </w:t>
    </w:r>
    <w:fldSimple w:instr="PAGE">
      <w:r>
        <w:rPr>
          <w:sz w:val="16"/>
        </w:rPr>
        <w:t>1</w:t>
      </w:r>
    </w:fldSimple>
    <w:r>
      <w:rPr>
        <w:rFonts w:ascii="Arial" w:hAnsi="Arial"/>
        <w:color w:val="555555"/>
        <w:sz w:val="16"/>
      </w:rPr>
      <w:t xml:space="preserve"> of </w:t>
    </w:r>
    <w:fldSimple w:instr="NUMPAGES">
      <w:r>
        <w:rPr>
          <w:sz w:val="16"/>
        </w:rPr>
        <w:t>1</w:t>
      </w:r>
    </w:fldSimple>
  </w:p>
  <w:p>
    <w:pPr>
      <w:spacing w:after="0"/>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2"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0" w:after="80" w:line="252"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2" w:lineRule="auto" w:before="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Truck Lease-to-Purchase Agreement</dc:title>
  <dc:subject/>
  <dc:creator/>
  <cp:keywords/>
  <dc:description/>
  <cp:lastModifiedBy/>
  <cp:revision>1</cp:revision>
  <dcterms:created xsi:type="dcterms:W3CDTF">2013-12-23T23:15:00Z</dcterms:created>
  <dcterms:modified xsi:type="dcterms:W3CDTF">2013-12-23T23:15:00Z</dcterms:modified>
  <cp:category/>
</cp:coreProperties>
</file>